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2B3A56" w:rsidP="008672C4">
      <w:pPr>
        <w:pStyle w:val="a3"/>
        <w:jc w:val="center"/>
      </w:pPr>
      <w:r>
        <w:t>Тема 1</w:t>
      </w:r>
      <w:r w:rsidR="00C740ED">
        <w:t>5</w:t>
      </w:r>
      <w:r>
        <w:t>:</w:t>
      </w:r>
      <w:r w:rsidR="00C740ED">
        <w:t xml:space="preserve"> </w:t>
      </w:r>
      <w:r w:rsidR="00484BA9">
        <w:t>Банковская система и её роль</w:t>
      </w:r>
      <w:r>
        <w:t>.</w:t>
      </w:r>
    </w:p>
    <w:p w:rsidR="00484BA9" w:rsidRDefault="00484BA9" w:rsidP="00506714">
      <w:r>
        <w:t>Вопрос 1. Понятие кредитной системы и её звенья.</w:t>
      </w:r>
    </w:p>
    <w:p w:rsidR="00484BA9" w:rsidRDefault="00484BA9" w:rsidP="00506714">
      <w:r>
        <w:t>Вопрос 2. Банковская система РБ</w:t>
      </w:r>
    </w:p>
    <w:p w:rsidR="00484BA9" w:rsidRDefault="00484BA9" w:rsidP="00484BA9">
      <w:pPr>
        <w:pStyle w:val="1"/>
      </w:pPr>
      <w:r>
        <w:t>Вопрос 1. Понятие кредитной системы и её звенья.</w:t>
      </w:r>
    </w:p>
    <w:p w:rsidR="00484BA9" w:rsidRDefault="00484BA9" w:rsidP="00506714">
      <w:r w:rsidRPr="00484BA9">
        <w:rPr>
          <w:color w:val="00B050"/>
        </w:rPr>
        <w:t>Кредитная система</w:t>
      </w:r>
      <w:r>
        <w:t xml:space="preserve"> – это совокупность отношений в сфере денежного оборота и кредита, а также кредитно-финансовых учреждений осуществляющих эти отношения.</w:t>
      </w:r>
    </w:p>
    <w:p w:rsidR="00484BA9" w:rsidRDefault="00484BA9" w:rsidP="00506714">
      <w:r>
        <w:t>Кредитная система:</w:t>
      </w:r>
    </w:p>
    <w:p w:rsidR="00484BA9" w:rsidRDefault="00484BA9" w:rsidP="00506714">
      <w:r>
        <w:rPr>
          <w:noProof/>
          <w:lang w:eastAsia="ru-RU"/>
        </w:rPr>
        <w:drawing>
          <wp:inline distT="0" distB="0" distL="0" distR="0">
            <wp:extent cx="3334385" cy="2371090"/>
            <wp:effectExtent l="19050" t="0" r="0" b="0"/>
            <wp:docPr id="2" name="Рисунок 2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71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BA9" w:rsidRDefault="00484BA9" w:rsidP="00506714"/>
    <w:p w:rsidR="00484BA9" w:rsidRDefault="00484BA9" w:rsidP="00506714">
      <w:r w:rsidRPr="009E2E93">
        <w:rPr>
          <w:color w:val="00B050"/>
        </w:rPr>
        <w:t>Банковская система</w:t>
      </w:r>
      <w:r>
        <w:t xml:space="preserve"> – это совокупность различных видов банков и банковских институтов в их взаимосвязи существующей в той или иной стране в определённый исторический период, составная часть кредитной системы. В кредитную систему</w:t>
      </w:r>
      <w:r w:rsidR="00D7352D">
        <w:t>,</w:t>
      </w:r>
      <w:r>
        <w:t xml:space="preserve"> помимо банков</w:t>
      </w:r>
      <w:r w:rsidR="00D7352D">
        <w:t>,</w:t>
      </w:r>
      <w:r>
        <w:t xml:space="preserve"> включаются вне банковские кредитно-финансовые организации (финансовые компании, лизинговые фирмы, инвестиционные фонды, финансовые биржи, пенсионе фонды, страховые организации и так далее)</w:t>
      </w:r>
      <w:r w:rsidR="00D7352D">
        <w:t>.</w:t>
      </w:r>
    </w:p>
    <w:p w:rsidR="00D7352D" w:rsidRDefault="00D7352D" w:rsidP="00506714">
      <w:r>
        <w:t xml:space="preserve">Банки являются наиболее распространённой группой кредитных учреждений выполняющими </w:t>
      </w:r>
      <w:proofErr w:type="gramStart"/>
      <w:r>
        <w:t>более</w:t>
      </w:r>
      <w:proofErr w:type="gramEnd"/>
      <w:r>
        <w:t xml:space="preserve"> 300 различных видов банковских операций и услуг.</w:t>
      </w:r>
    </w:p>
    <w:p w:rsidR="00D7352D" w:rsidRDefault="00D7352D" w:rsidP="00506714">
      <w:r>
        <w:t>Классическим банковскими операциями являются:</w:t>
      </w:r>
    </w:p>
    <w:p w:rsidR="00D7352D" w:rsidRDefault="00D7352D" w:rsidP="00D7352D">
      <w:pPr>
        <w:pStyle w:val="a5"/>
        <w:numPr>
          <w:ilvl w:val="0"/>
          <w:numId w:val="19"/>
        </w:numPr>
      </w:pPr>
      <w:r>
        <w:t>Привлечение средство во вклады.</w:t>
      </w:r>
    </w:p>
    <w:p w:rsidR="00D7352D" w:rsidRDefault="00D7352D" w:rsidP="00D7352D">
      <w:pPr>
        <w:pStyle w:val="a5"/>
        <w:numPr>
          <w:ilvl w:val="0"/>
          <w:numId w:val="19"/>
        </w:numPr>
      </w:pPr>
      <w:r>
        <w:t>Предоставление аккумулированных средств в ссуду.</w:t>
      </w:r>
    </w:p>
    <w:p w:rsidR="00D7352D" w:rsidRDefault="00D7352D" w:rsidP="00D7352D">
      <w:pPr>
        <w:pStyle w:val="a5"/>
        <w:numPr>
          <w:ilvl w:val="0"/>
          <w:numId w:val="19"/>
        </w:numPr>
      </w:pPr>
      <w:r>
        <w:t>Осуществление расчётов.</w:t>
      </w:r>
    </w:p>
    <w:p w:rsidR="00D7352D" w:rsidRDefault="00D7352D" w:rsidP="00D7352D">
      <w:r>
        <w:lastRenderedPageBreak/>
        <w:t>НКФО (</w:t>
      </w:r>
      <w:proofErr w:type="spellStart"/>
      <w:r>
        <w:t>парабанковские</w:t>
      </w:r>
      <w:proofErr w:type="spellEnd"/>
      <w:r>
        <w:t xml:space="preserve"> учреждения) отличает ориентация либо на обслуживание определённых типов клиентуры, либо на осуществление в основном 1го 2х видов услуг. НКФО полностью </w:t>
      </w:r>
      <w:proofErr w:type="gramStart"/>
      <w:r>
        <w:t>подпадают  под</w:t>
      </w:r>
      <w:proofErr w:type="gramEnd"/>
      <w:r>
        <w:t xml:space="preserve"> действие банковского законодательства.</w:t>
      </w:r>
    </w:p>
    <w:p w:rsidR="00565C43" w:rsidRDefault="0017280F" w:rsidP="00D7352D">
      <w:r>
        <w:t>В зависимости от соподчи</w:t>
      </w:r>
      <w:r w:rsidR="00565C43">
        <w:t>нённости кредитных институтов и структуры кредитной системы выделяют 2 типа построения банковских систем:</w:t>
      </w:r>
    </w:p>
    <w:p w:rsidR="00565C43" w:rsidRDefault="00565C43" w:rsidP="00565C43">
      <w:pPr>
        <w:pStyle w:val="a5"/>
        <w:numPr>
          <w:ilvl w:val="0"/>
          <w:numId w:val="20"/>
        </w:numPr>
      </w:pPr>
      <w:r>
        <w:t>Одноуровневые. Предполагает преобладание горизонтальных связей между банками</w:t>
      </w:r>
      <w:r w:rsidR="0017280F">
        <w:t>, универсализацию их операций и функций. В рамках такой системы все кредитные институты включая и Центральный Банк</w:t>
      </w:r>
      <w:r w:rsidR="009E2E93">
        <w:t>,</w:t>
      </w:r>
      <w:r w:rsidR="0017280F">
        <w:t xml:space="preserve"> находятся на одной иерархической ступени, выполняя аналогические функции по кредитно-расчётному обслуживанию </w:t>
      </w:r>
      <w:proofErr w:type="spellStart"/>
      <w:r w:rsidR="0017280F">
        <w:t>кредитуры</w:t>
      </w:r>
      <w:proofErr w:type="spellEnd"/>
      <w:r w:rsidR="0017280F">
        <w:t>.</w:t>
      </w:r>
    </w:p>
    <w:p w:rsidR="00565C43" w:rsidRDefault="00565C43" w:rsidP="00565C43">
      <w:pPr>
        <w:pStyle w:val="a5"/>
        <w:numPr>
          <w:ilvl w:val="0"/>
          <w:numId w:val="20"/>
        </w:numPr>
      </w:pPr>
      <w:r>
        <w:t>Двухуровневые.</w:t>
      </w:r>
      <w:r w:rsidR="009E2E93">
        <w:t xml:space="preserve"> Основывается на построении взаимоотношений между банками в 2х плоскостях: по вертикали и по горизонтали. </w:t>
      </w:r>
      <w:r w:rsidR="009E2E93" w:rsidRPr="009E2E93">
        <w:rPr>
          <w:color w:val="00B050"/>
        </w:rPr>
        <w:t>По вертикали</w:t>
      </w:r>
      <w:r w:rsidR="009E2E93">
        <w:t xml:space="preserve"> – это отношение подчинения между центральным банком как руководящим и управляющим центром и низовыми звеньями – коммерческими банками. </w:t>
      </w:r>
      <w:r w:rsidR="009E2E93" w:rsidRPr="009E2E93">
        <w:rPr>
          <w:color w:val="00B050"/>
        </w:rPr>
        <w:t>По горизонтали</w:t>
      </w:r>
      <w:r w:rsidR="009E2E93">
        <w:t xml:space="preserve"> – отношение равноправного партнёрства и конкуренции между различными низовыми звеньями.</w:t>
      </w:r>
      <w:r w:rsidR="009E2E93">
        <w:rPr>
          <w:noProof/>
          <w:lang w:eastAsia="ru-RU"/>
        </w:rPr>
        <w:drawing>
          <wp:inline distT="0" distB="0" distL="0" distR="0">
            <wp:extent cx="2993390" cy="2980690"/>
            <wp:effectExtent l="19050" t="0" r="0" b="0"/>
            <wp:docPr id="3" name="Рисунок 3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298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E93" w:rsidRDefault="00CF01C2" w:rsidP="009E2E93">
      <w:r>
        <w:t>В основу организации деятельности банковской системы положены следующие принципы:</w:t>
      </w:r>
    </w:p>
    <w:p w:rsidR="00CF01C2" w:rsidRDefault="00CF01C2" w:rsidP="00CF01C2">
      <w:pPr>
        <w:pStyle w:val="a5"/>
        <w:numPr>
          <w:ilvl w:val="0"/>
          <w:numId w:val="21"/>
        </w:numPr>
      </w:pPr>
      <w:r>
        <w:t>Обязательность получения лицензии на банковскую деятельность на отдельные операции.</w:t>
      </w:r>
    </w:p>
    <w:p w:rsidR="00CF01C2" w:rsidRDefault="00CF01C2" w:rsidP="00CF01C2">
      <w:pPr>
        <w:pStyle w:val="a5"/>
        <w:numPr>
          <w:ilvl w:val="0"/>
          <w:numId w:val="21"/>
        </w:numPr>
      </w:pPr>
      <w:r>
        <w:t>Независимость в деятельности, не вмешательство государственных органов в работу банков, кроме случаев, предусмотренных законом.</w:t>
      </w:r>
    </w:p>
    <w:p w:rsidR="00CF01C2" w:rsidRDefault="00CF01C2" w:rsidP="00CF01C2">
      <w:pPr>
        <w:pStyle w:val="a5"/>
        <w:numPr>
          <w:ilvl w:val="0"/>
          <w:numId w:val="21"/>
        </w:numPr>
      </w:pPr>
      <w:r>
        <w:t>Разграничение ответственности банков и государства.</w:t>
      </w:r>
    </w:p>
    <w:p w:rsidR="00CF01C2" w:rsidRDefault="00CF01C2" w:rsidP="00CF01C2">
      <w:pPr>
        <w:pStyle w:val="a5"/>
        <w:numPr>
          <w:ilvl w:val="0"/>
          <w:numId w:val="21"/>
        </w:numPr>
      </w:pPr>
      <w:r>
        <w:t>Регулирование деятельности банков центральным банком и осуществление банковского надзора.</w:t>
      </w:r>
    </w:p>
    <w:p w:rsidR="004846BA" w:rsidRDefault="00170E15" w:rsidP="004846BA">
      <w:pPr>
        <w:pStyle w:val="a5"/>
        <w:numPr>
          <w:ilvl w:val="0"/>
          <w:numId w:val="21"/>
        </w:numPr>
      </w:pPr>
      <w:r>
        <w:t>Обязательное соблюдение банками экономических нормативов для поддержания стабильности и устойчивости кредитной системы.</w:t>
      </w:r>
    </w:p>
    <w:p w:rsidR="00253B70" w:rsidRDefault="00253B70" w:rsidP="004846BA">
      <w:pPr>
        <w:pStyle w:val="a5"/>
        <w:numPr>
          <w:ilvl w:val="0"/>
          <w:numId w:val="21"/>
        </w:numPr>
      </w:pPr>
      <w:r>
        <w:t>Обеспечение свободы выбора банка вкладчикам.</w:t>
      </w:r>
    </w:p>
    <w:p w:rsidR="00D46837" w:rsidRDefault="00D46837" w:rsidP="004846BA">
      <w:pPr>
        <w:pStyle w:val="a5"/>
        <w:numPr>
          <w:ilvl w:val="0"/>
          <w:numId w:val="21"/>
        </w:numPr>
      </w:pPr>
      <w:r>
        <w:t>Обеспечение возврата денежных средств</w:t>
      </w:r>
      <w:r w:rsidR="00EF1302">
        <w:t>,</w:t>
      </w:r>
      <w:r>
        <w:t xml:space="preserve"> вкладчикам.</w:t>
      </w:r>
    </w:p>
    <w:p w:rsidR="00EF1302" w:rsidRDefault="00EF1302" w:rsidP="004846BA">
      <w:pPr>
        <w:pStyle w:val="a5"/>
        <w:numPr>
          <w:ilvl w:val="0"/>
          <w:numId w:val="21"/>
        </w:numPr>
      </w:pPr>
      <w:r>
        <w:t>Обеспечение банковской та</w:t>
      </w:r>
      <w:bookmarkStart w:id="0" w:name="_GoBack"/>
      <w:bookmarkEnd w:id="0"/>
      <w:r>
        <w:t>йны по операциям, счетам и вкладам клиентов.</w:t>
      </w:r>
    </w:p>
    <w:p w:rsidR="00EF1302" w:rsidRDefault="00EF1302" w:rsidP="004846BA">
      <w:pPr>
        <w:pStyle w:val="a5"/>
        <w:numPr>
          <w:ilvl w:val="0"/>
          <w:numId w:val="21"/>
        </w:numPr>
      </w:pPr>
      <w:r>
        <w:t>Работа в пределах реально имеющихся ресурсов</w:t>
      </w:r>
    </w:p>
    <w:p w:rsidR="00EF1302" w:rsidRDefault="00EF1302" w:rsidP="004846BA">
      <w:pPr>
        <w:pStyle w:val="a5"/>
        <w:numPr>
          <w:ilvl w:val="0"/>
          <w:numId w:val="21"/>
        </w:numPr>
      </w:pPr>
      <w:r>
        <w:t>Взаимоотношения коммерческого банка со своими клиентами троятся как обычные рыночные отношения исходя из критериев прибыльности, риска и ликвидности.</w:t>
      </w:r>
    </w:p>
    <w:p w:rsidR="00394B42" w:rsidRDefault="00394B42" w:rsidP="00394B42">
      <w:r>
        <w:lastRenderedPageBreak/>
        <w:t>Классификация банков: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 территории деятельности: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Международные.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Национальные.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Региональные.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Межрегиональные.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 признаку собственности: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Государственные.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Банки с участием государственного капитала.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Частные банки.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Акционерные банки.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Банки с участием иностранного капитала.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Муниципальные.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Иностранные.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 отраслевому признаку: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Сельскохозяйственные.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Торговые.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Строительные.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Промышленные.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Коммунальные.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Внешнеторговые.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Кооперативные и так далее.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 набору услуг: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Универсальные.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Специализированные.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 функциональным признакам: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Ипотечные.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Инвестиционные.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Инновационные.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Депозитные.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Трастовые.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Клиринговые.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Учётные.</w:t>
      </w:r>
    </w:p>
    <w:p w:rsidR="00394B42" w:rsidRDefault="00394B42" w:rsidP="00394B42">
      <w:pPr>
        <w:pStyle w:val="a5"/>
        <w:numPr>
          <w:ilvl w:val="1"/>
          <w:numId w:val="22"/>
        </w:numPr>
      </w:pPr>
      <w:r>
        <w:t>Ссудо-сберегательные и другие.</w:t>
      </w:r>
    </w:p>
    <w:p w:rsidR="00394B42" w:rsidRDefault="00394B42" w:rsidP="00394B42">
      <w:pPr>
        <w:pStyle w:val="a5"/>
        <w:numPr>
          <w:ilvl w:val="0"/>
          <w:numId w:val="22"/>
        </w:numPr>
      </w:pPr>
      <w:r>
        <w:t>По</w:t>
      </w:r>
      <w:r w:rsidR="00BB0B75">
        <w:t xml:space="preserve"> организационной структуре:</w:t>
      </w:r>
    </w:p>
    <w:p w:rsidR="00BB0B75" w:rsidRDefault="00BB0B75" w:rsidP="00BB0B75">
      <w:pPr>
        <w:pStyle w:val="a5"/>
        <w:numPr>
          <w:ilvl w:val="1"/>
          <w:numId w:val="22"/>
        </w:numPr>
      </w:pPr>
      <w:r>
        <w:t>Единый банк.</w:t>
      </w:r>
    </w:p>
    <w:p w:rsidR="00BB0B75" w:rsidRDefault="00BB0B75" w:rsidP="00BB0B75">
      <w:pPr>
        <w:pStyle w:val="a5"/>
        <w:numPr>
          <w:ilvl w:val="1"/>
          <w:numId w:val="22"/>
        </w:numPr>
      </w:pPr>
      <w:r>
        <w:t>Банковская группа.</w:t>
      </w:r>
    </w:p>
    <w:p w:rsidR="00BB0B75" w:rsidRDefault="00BB0B75" w:rsidP="00BB0B75">
      <w:pPr>
        <w:pStyle w:val="a5"/>
        <w:numPr>
          <w:ilvl w:val="1"/>
          <w:numId w:val="22"/>
        </w:numPr>
      </w:pPr>
      <w:r>
        <w:t>Банковские объединения:</w:t>
      </w:r>
    </w:p>
    <w:p w:rsidR="00BB0B75" w:rsidRDefault="00BB0B75" w:rsidP="00BB0B75">
      <w:pPr>
        <w:pStyle w:val="a5"/>
        <w:numPr>
          <w:ilvl w:val="2"/>
          <w:numId w:val="22"/>
        </w:numPr>
      </w:pPr>
      <w:r>
        <w:t>Банковский картель.</w:t>
      </w:r>
    </w:p>
    <w:p w:rsidR="00BB0B75" w:rsidRDefault="00BB0B75" w:rsidP="00BB0B75">
      <w:pPr>
        <w:pStyle w:val="a5"/>
        <w:numPr>
          <w:ilvl w:val="2"/>
          <w:numId w:val="22"/>
        </w:numPr>
      </w:pPr>
      <w:r>
        <w:t>Консорциум – объединение банков на временной основе.</w:t>
      </w:r>
    </w:p>
    <w:p w:rsidR="00BB0B75" w:rsidRDefault="00BB0B75" w:rsidP="00BB0B75">
      <w:pPr>
        <w:pStyle w:val="1"/>
      </w:pPr>
      <w:r>
        <w:t>Вопрос 2. Банковская система РБ</w:t>
      </w:r>
    </w:p>
    <w:p w:rsidR="00BB0B75" w:rsidRDefault="00BB0B75" w:rsidP="00BB0B75">
      <w:r>
        <w:t>В декабре 1999года 2 закона:</w:t>
      </w:r>
    </w:p>
    <w:p w:rsidR="00BB0B75" w:rsidRPr="00866E00" w:rsidRDefault="00BB0B75" w:rsidP="00BB0B75">
      <w:pPr>
        <w:pStyle w:val="a5"/>
        <w:numPr>
          <w:ilvl w:val="0"/>
          <w:numId w:val="23"/>
        </w:numPr>
      </w:pPr>
      <w:r>
        <w:t>Закон о национальном банке</w:t>
      </w:r>
    </w:p>
    <w:sectPr w:rsidR="00BB0B75" w:rsidRPr="00866E00" w:rsidSect="00AE740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864" w:rsidRDefault="006F6864" w:rsidP="00756CCB">
      <w:pPr>
        <w:spacing w:after="0" w:line="240" w:lineRule="auto"/>
      </w:pPr>
      <w:r>
        <w:separator/>
      </w:r>
    </w:p>
  </w:endnote>
  <w:endnote w:type="continuationSeparator" w:id="0">
    <w:p w:rsidR="006F6864" w:rsidRDefault="006F6864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864" w:rsidRDefault="006F6864" w:rsidP="00756CCB">
      <w:pPr>
        <w:spacing w:after="0" w:line="240" w:lineRule="auto"/>
      </w:pPr>
      <w:r>
        <w:separator/>
      </w:r>
    </w:p>
  </w:footnote>
  <w:footnote w:type="continuationSeparator" w:id="0">
    <w:p w:rsidR="006F6864" w:rsidRDefault="006F6864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14" w:rsidRDefault="00506714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4DF1C95"/>
    <w:multiLevelType w:val="hybridMultilevel"/>
    <w:tmpl w:val="A1C454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424DA"/>
    <w:multiLevelType w:val="hybridMultilevel"/>
    <w:tmpl w:val="EB26B6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054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B92DC0"/>
    <w:multiLevelType w:val="hybridMultilevel"/>
    <w:tmpl w:val="D0DA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B1447"/>
    <w:multiLevelType w:val="hybridMultilevel"/>
    <w:tmpl w:val="1ADCE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>
    <w:nsid w:val="2A68220A"/>
    <w:multiLevelType w:val="hybridMultilevel"/>
    <w:tmpl w:val="3C8E6D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95732"/>
    <w:multiLevelType w:val="hybridMultilevel"/>
    <w:tmpl w:val="E612C0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B63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468657E"/>
    <w:multiLevelType w:val="hybridMultilevel"/>
    <w:tmpl w:val="DB60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B7C6A"/>
    <w:multiLevelType w:val="hybridMultilevel"/>
    <w:tmpl w:val="96106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2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1827C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2BB589C"/>
    <w:multiLevelType w:val="hybridMultilevel"/>
    <w:tmpl w:val="6330B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EC77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7C66D1F"/>
    <w:multiLevelType w:val="hybridMultilevel"/>
    <w:tmpl w:val="02943A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E355B"/>
    <w:multiLevelType w:val="hybridMultilevel"/>
    <w:tmpl w:val="1FA20F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47027"/>
    <w:multiLevelType w:val="hybridMultilevel"/>
    <w:tmpl w:val="B49C5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97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6"/>
  </w:num>
  <w:num w:numId="5">
    <w:abstractNumId w:val="21"/>
  </w:num>
  <w:num w:numId="6">
    <w:abstractNumId w:val="12"/>
  </w:num>
  <w:num w:numId="7">
    <w:abstractNumId w:val="16"/>
  </w:num>
  <w:num w:numId="8">
    <w:abstractNumId w:val="4"/>
  </w:num>
  <w:num w:numId="9">
    <w:abstractNumId w:val="13"/>
  </w:num>
  <w:num w:numId="10">
    <w:abstractNumId w:val="7"/>
  </w:num>
  <w:num w:numId="11">
    <w:abstractNumId w:val="20"/>
  </w:num>
  <w:num w:numId="12">
    <w:abstractNumId w:val="5"/>
  </w:num>
  <w:num w:numId="13">
    <w:abstractNumId w:val="18"/>
  </w:num>
  <w:num w:numId="14">
    <w:abstractNumId w:val="14"/>
  </w:num>
  <w:num w:numId="15">
    <w:abstractNumId w:val="22"/>
  </w:num>
  <w:num w:numId="16">
    <w:abstractNumId w:val="19"/>
  </w:num>
  <w:num w:numId="17">
    <w:abstractNumId w:val="15"/>
  </w:num>
  <w:num w:numId="18">
    <w:abstractNumId w:val="17"/>
  </w:num>
  <w:num w:numId="19">
    <w:abstractNumId w:val="8"/>
  </w:num>
  <w:num w:numId="20">
    <w:abstractNumId w:val="11"/>
  </w:num>
  <w:num w:numId="21">
    <w:abstractNumId w:val="3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86992"/>
    <w:rsid w:val="00090B77"/>
    <w:rsid w:val="000A5F26"/>
    <w:rsid w:val="000F536B"/>
    <w:rsid w:val="001218D5"/>
    <w:rsid w:val="001259EB"/>
    <w:rsid w:val="00152CB5"/>
    <w:rsid w:val="00165608"/>
    <w:rsid w:val="00170E15"/>
    <w:rsid w:val="0017280F"/>
    <w:rsid w:val="001B2CD2"/>
    <w:rsid w:val="001D52BA"/>
    <w:rsid w:val="001E26A3"/>
    <w:rsid w:val="0024718E"/>
    <w:rsid w:val="00253B70"/>
    <w:rsid w:val="0025767A"/>
    <w:rsid w:val="0026376A"/>
    <w:rsid w:val="002864DE"/>
    <w:rsid w:val="00291F55"/>
    <w:rsid w:val="002925B9"/>
    <w:rsid w:val="002B334F"/>
    <w:rsid w:val="002B3A56"/>
    <w:rsid w:val="002F3633"/>
    <w:rsid w:val="002F6EB9"/>
    <w:rsid w:val="003070B0"/>
    <w:rsid w:val="00307CAD"/>
    <w:rsid w:val="003423EB"/>
    <w:rsid w:val="00365CC7"/>
    <w:rsid w:val="00387A4D"/>
    <w:rsid w:val="00394B42"/>
    <w:rsid w:val="004206C6"/>
    <w:rsid w:val="004846BA"/>
    <w:rsid w:val="00484BA9"/>
    <w:rsid w:val="00496F60"/>
    <w:rsid w:val="00506714"/>
    <w:rsid w:val="00565C43"/>
    <w:rsid w:val="005E71C5"/>
    <w:rsid w:val="00630F6D"/>
    <w:rsid w:val="0065327F"/>
    <w:rsid w:val="00680600"/>
    <w:rsid w:val="006816C0"/>
    <w:rsid w:val="00682C53"/>
    <w:rsid w:val="006840CE"/>
    <w:rsid w:val="006F6864"/>
    <w:rsid w:val="00756CCB"/>
    <w:rsid w:val="007614CD"/>
    <w:rsid w:val="007D795A"/>
    <w:rsid w:val="0085462E"/>
    <w:rsid w:val="00866E00"/>
    <w:rsid w:val="008672C4"/>
    <w:rsid w:val="008C61B6"/>
    <w:rsid w:val="008D36AA"/>
    <w:rsid w:val="008F2315"/>
    <w:rsid w:val="009318A9"/>
    <w:rsid w:val="0094400B"/>
    <w:rsid w:val="0097496D"/>
    <w:rsid w:val="00987A3D"/>
    <w:rsid w:val="0099529D"/>
    <w:rsid w:val="009E2E93"/>
    <w:rsid w:val="00A075DD"/>
    <w:rsid w:val="00A770E2"/>
    <w:rsid w:val="00AA57F5"/>
    <w:rsid w:val="00AD17AA"/>
    <w:rsid w:val="00AE7408"/>
    <w:rsid w:val="00B9448C"/>
    <w:rsid w:val="00BB0B75"/>
    <w:rsid w:val="00BD3B67"/>
    <w:rsid w:val="00BD7FAD"/>
    <w:rsid w:val="00C740ED"/>
    <w:rsid w:val="00C800A7"/>
    <w:rsid w:val="00CF01C2"/>
    <w:rsid w:val="00D1762A"/>
    <w:rsid w:val="00D46837"/>
    <w:rsid w:val="00D545BF"/>
    <w:rsid w:val="00D7352D"/>
    <w:rsid w:val="00D74D8E"/>
    <w:rsid w:val="00D75034"/>
    <w:rsid w:val="00D833E5"/>
    <w:rsid w:val="00DB0122"/>
    <w:rsid w:val="00DB6DE3"/>
    <w:rsid w:val="00DC378D"/>
    <w:rsid w:val="00E53F00"/>
    <w:rsid w:val="00E80C45"/>
    <w:rsid w:val="00EF1302"/>
    <w:rsid w:val="00EF3108"/>
    <w:rsid w:val="00F2136C"/>
    <w:rsid w:val="00F371C7"/>
    <w:rsid w:val="00F560FD"/>
    <w:rsid w:val="00F8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81CBC-09AD-409E-A03E-3285129C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15</cp:revision>
  <dcterms:created xsi:type="dcterms:W3CDTF">2008-03-06T09:14:00Z</dcterms:created>
  <dcterms:modified xsi:type="dcterms:W3CDTF">2014-12-23T20:01:00Z</dcterms:modified>
</cp:coreProperties>
</file>